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AB" w:rsidRDefault="00A02CAB">
      <w:pPr>
        <w:pStyle w:val="CommentText"/>
        <w:rPr>
          <w:noProof/>
          <w:szCs w:val="24"/>
          <w:lang w:val="en-US"/>
        </w:rPr>
      </w:pPr>
    </w:p>
    <w:p w:rsidR="007E6C99" w:rsidRDefault="00F62206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C99" w:rsidRDefault="00F6220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5355" cy="1254760"/>
                                  <wp:effectExtent l="0" t="0" r="0" b="2540"/>
                                  <wp:docPr id="1" name="Picture 1" descr="http://insideocc/styleguide/logos/occ_bl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sideocc/styleguide/logos/occ_bl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7E6C99" w:rsidRDefault="00F6220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35355" cy="1254760"/>
                            <wp:effectExtent l="0" t="0" r="0" b="2540"/>
                            <wp:docPr id="1" name="Picture 1" descr="http://insideocc/styleguide/logos/occ_bl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sideocc/styleguide/logos/occ_bl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6C99" w:rsidRDefault="007E6C99">
      <w:pPr>
        <w:jc w:val="right"/>
        <w:rPr>
          <w:b/>
          <w:bCs/>
        </w:rPr>
      </w:pPr>
    </w:p>
    <w:p w:rsidR="007E6C99" w:rsidRDefault="007E6C99">
      <w:pPr>
        <w:jc w:val="right"/>
      </w:pPr>
    </w:p>
    <w:p w:rsidR="007E6C99" w:rsidRDefault="007E6C99">
      <w:pPr>
        <w:tabs>
          <w:tab w:val="left" w:pos="2160"/>
        </w:tabs>
        <w:rPr>
          <w:b/>
          <w:bCs/>
        </w:rPr>
      </w:pPr>
    </w:p>
    <w:p w:rsidR="007E6C99" w:rsidRDefault="00890110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7E6C99" w:rsidRDefault="00890110">
      <w:pPr>
        <w:tabs>
          <w:tab w:val="left" w:pos="2160"/>
        </w:tabs>
        <w:rPr>
          <w:b/>
          <w:bCs/>
        </w:rPr>
      </w:pPr>
      <w:r>
        <w:rPr>
          <w:b/>
          <w:bCs/>
        </w:rPr>
        <w:t>To:</w:t>
      </w:r>
      <w:r w:rsidR="00401F70">
        <w:rPr>
          <w:b/>
          <w:bCs/>
        </w:rPr>
        <w:t xml:space="preserve"> </w:t>
      </w:r>
      <w:r w:rsidR="00AE7874">
        <w:rPr>
          <w:b/>
          <w:bCs/>
        </w:rPr>
        <w:tab/>
      </w:r>
      <w:r w:rsidR="00401F70">
        <w:rPr>
          <w:b/>
          <w:bCs/>
        </w:rPr>
        <w:t>Council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E6C99" w:rsidRDefault="007E6C99">
      <w:pPr>
        <w:rPr>
          <w:b/>
          <w:bCs/>
        </w:rPr>
      </w:pPr>
    </w:p>
    <w:p w:rsidR="007E6C99" w:rsidRDefault="00890110">
      <w:pPr>
        <w:tabs>
          <w:tab w:val="left" w:pos="2160"/>
          <w:tab w:val="left" w:pos="6300"/>
          <w:tab w:val="left" w:pos="7380"/>
        </w:tabs>
        <w:rPr>
          <w:b/>
          <w:bCs/>
        </w:rPr>
      </w:pPr>
      <w:r>
        <w:rPr>
          <w:b/>
          <w:bCs/>
        </w:rPr>
        <w:t>Date:</w:t>
      </w:r>
      <w:r w:rsidR="006114DE">
        <w:rPr>
          <w:b/>
          <w:bCs/>
        </w:rPr>
        <w:t xml:space="preserve"> </w:t>
      </w:r>
      <w:r w:rsidR="00AE7874">
        <w:rPr>
          <w:b/>
          <w:bCs/>
        </w:rPr>
        <w:tab/>
      </w:r>
      <w:r w:rsidR="006114DE">
        <w:rPr>
          <w:b/>
          <w:bCs/>
        </w:rPr>
        <w:t>29 September 2016</w:t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7E6C99" w:rsidRDefault="007E6C99">
      <w:pPr>
        <w:jc w:val="right"/>
        <w:rPr>
          <w:b/>
          <w:bCs/>
        </w:rPr>
      </w:pPr>
    </w:p>
    <w:p w:rsidR="007E6C99" w:rsidRDefault="00890110" w:rsidP="00AE7874">
      <w:pPr>
        <w:ind w:left="2160" w:hanging="2160"/>
        <w:rPr>
          <w:b/>
          <w:bCs/>
        </w:rPr>
      </w:pPr>
      <w:r>
        <w:rPr>
          <w:b/>
          <w:bCs/>
        </w:rPr>
        <w:t>Report of:</w:t>
      </w:r>
      <w:r w:rsidR="00401F70">
        <w:rPr>
          <w:b/>
          <w:bCs/>
        </w:rPr>
        <w:t xml:space="preserve"> </w:t>
      </w:r>
      <w:r w:rsidR="00AE7874">
        <w:rPr>
          <w:b/>
          <w:bCs/>
        </w:rPr>
        <w:tab/>
      </w:r>
      <w:r w:rsidR="00401F70">
        <w:rPr>
          <w:b/>
          <w:bCs/>
        </w:rPr>
        <w:t>Councillor John Tanner, Board Member for Clean and Green Oxford</w:t>
      </w:r>
      <w:r>
        <w:rPr>
          <w:b/>
          <w:bCs/>
        </w:rPr>
        <w:tab/>
      </w:r>
    </w:p>
    <w:p w:rsidR="007E6C99" w:rsidRDefault="007E6C99">
      <w:pPr>
        <w:tabs>
          <w:tab w:val="left" w:pos="2160"/>
        </w:tabs>
        <w:rPr>
          <w:b/>
          <w:bCs/>
        </w:rPr>
      </w:pPr>
    </w:p>
    <w:p w:rsidR="007E6C99" w:rsidRDefault="00890110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Title of Report: </w:t>
      </w:r>
      <w:r w:rsidR="00AE7874">
        <w:rPr>
          <w:b/>
          <w:bCs/>
        </w:rPr>
        <w:tab/>
      </w:r>
      <w:r w:rsidR="00401F70">
        <w:rPr>
          <w:b/>
          <w:bCs/>
        </w:rPr>
        <w:t>Oxford Environment Partnership</w:t>
      </w:r>
      <w:r>
        <w:rPr>
          <w:b/>
          <w:bCs/>
        </w:rPr>
        <w:tab/>
      </w:r>
      <w:r>
        <w:rPr>
          <w:b/>
          <w:bCs/>
        </w:rPr>
        <w:tab/>
      </w:r>
    </w:p>
    <w:p w:rsidR="007E6C99" w:rsidRDefault="007E6C99">
      <w:pPr>
        <w:jc w:val="center"/>
        <w:rPr>
          <w:b/>
          <w:bCs/>
        </w:rPr>
      </w:pPr>
    </w:p>
    <w:p w:rsidR="007E6C99" w:rsidRDefault="007E6C99"/>
    <w:p w:rsidR="007E6C99" w:rsidRDefault="007E6C99">
      <w:pPr>
        <w:pStyle w:val="Heading1"/>
        <w:jc w:val="center"/>
        <w:rPr>
          <w:u w:val="single"/>
        </w:rPr>
      </w:pPr>
    </w:p>
    <w:p w:rsidR="007E6C99" w:rsidRDefault="007E6C9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7E6C99" w:rsidRDefault="008901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7E6C99" w:rsidRDefault="007E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6C99" w:rsidRDefault="007E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6C99" w:rsidRDefault="00890110" w:rsidP="00AE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Purpose of report</w:t>
      </w:r>
      <w:r>
        <w:t xml:space="preserve">:  </w:t>
      </w:r>
      <w:r w:rsidR="00401F70">
        <w:t>To inform members of the work of the Oxford Environment Partnership.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6C99" w:rsidRDefault="007E6C9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6C99" w:rsidRDefault="0089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Policy Framework: </w:t>
      </w:r>
      <w:r w:rsidR="00401F70" w:rsidRPr="00401F70">
        <w:rPr>
          <w:bCs/>
        </w:rPr>
        <w:t>The Corporate Plan</w:t>
      </w:r>
    </w:p>
    <w:p w:rsidR="007E6C99" w:rsidRDefault="007E6C9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6C99" w:rsidRDefault="00AE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b/>
        </w:rPr>
      </w:pPr>
      <w:r>
        <w:rPr>
          <w:b/>
        </w:rPr>
        <w:t>Recommendation</w:t>
      </w:r>
      <w:r w:rsidR="00890110">
        <w:rPr>
          <w:b/>
        </w:rPr>
        <w:t xml:space="preserve">: </w:t>
      </w:r>
      <w:r>
        <w:rPr>
          <w:b/>
        </w:rPr>
        <w:t xml:space="preserve"> </w:t>
      </w:r>
      <w:r w:rsidRPr="00AE7874">
        <w:t xml:space="preserve">Council to </w:t>
      </w:r>
    </w:p>
    <w:p w:rsidR="007E6C99" w:rsidRDefault="007E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b/>
        </w:rPr>
      </w:pPr>
    </w:p>
    <w:p w:rsidR="00401F70" w:rsidRPr="00401F70" w:rsidRDefault="00401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</w:pPr>
      <w:r w:rsidRPr="00401F70">
        <w:t xml:space="preserve">1. </w:t>
      </w:r>
      <w:r w:rsidR="00AE7874">
        <w:t>N</w:t>
      </w:r>
      <w:r w:rsidRPr="00401F70">
        <w:t>ote the content of the report.</w:t>
      </w:r>
      <w:bookmarkStart w:id="0" w:name="_GoBack"/>
      <w:bookmarkEnd w:id="0"/>
    </w:p>
    <w:p w:rsidR="007E6C99" w:rsidRDefault="007E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b/>
        </w:rPr>
      </w:pPr>
    </w:p>
    <w:p w:rsidR="007E6C99" w:rsidRDefault="007E6C99"/>
    <w:p w:rsidR="007E6C99" w:rsidRPr="00F62206" w:rsidRDefault="00F62206">
      <w:pPr>
        <w:rPr>
          <w:b/>
        </w:rPr>
      </w:pPr>
      <w:r w:rsidRPr="00F62206">
        <w:rPr>
          <w:b/>
        </w:rPr>
        <w:t>Background</w:t>
      </w:r>
    </w:p>
    <w:p w:rsidR="007E6C99" w:rsidRDefault="007E6C99"/>
    <w:p w:rsidR="00450101" w:rsidRDefault="00401F70" w:rsidP="002A783D">
      <w:pPr>
        <w:pStyle w:val="ListParagraph"/>
        <w:numPr>
          <w:ilvl w:val="0"/>
          <w:numId w:val="1"/>
        </w:numPr>
        <w:ind w:left="714" w:hanging="357"/>
      </w:pPr>
      <w:r w:rsidRPr="002A783D">
        <w:rPr>
          <w:rFonts w:cs="Arial"/>
          <w:color w:val="111111"/>
          <w:shd w:val="clear" w:color="auto" w:fill="FFFFFF"/>
        </w:rPr>
        <w:t>Oxfordshire Environment Partnership</w:t>
      </w:r>
      <w:r w:rsidR="005A6CDC">
        <w:rPr>
          <w:rFonts w:cs="Arial"/>
          <w:color w:val="111111"/>
          <w:shd w:val="clear" w:color="auto" w:fill="FFFFFF"/>
        </w:rPr>
        <w:t xml:space="preserve"> has operated since 2008</w:t>
      </w:r>
      <w:r w:rsidR="002D584D">
        <w:rPr>
          <w:rFonts w:cs="Arial"/>
          <w:color w:val="111111"/>
          <w:shd w:val="clear" w:color="auto" w:fill="FFFFFF"/>
        </w:rPr>
        <w:t xml:space="preserve">. It is </w:t>
      </w:r>
      <w:r w:rsidRPr="002A783D">
        <w:rPr>
          <w:rFonts w:cs="Arial"/>
          <w:color w:val="111111"/>
          <w:shd w:val="clear" w:color="auto" w:fill="FFFFFF"/>
        </w:rPr>
        <w:t>a meeting of Cabinet members and officers of the six local authorities in Oxfordshire</w:t>
      </w:r>
      <w:r w:rsidR="002D584D">
        <w:rPr>
          <w:rFonts w:cs="Arial"/>
          <w:color w:val="111111"/>
          <w:shd w:val="clear" w:color="auto" w:fill="FFFFFF"/>
        </w:rPr>
        <w:t>,</w:t>
      </w:r>
      <w:r w:rsidRPr="002A783D">
        <w:rPr>
          <w:rFonts w:cs="Arial"/>
          <w:color w:val="111111"/>
          <w:shd w:val="clear" w:color="auto" w:fill="FFFFFF"/>
        </w:rPr>
        <w:t xml:space="preserve"> with other groups</w:t>
      </w:r>
      <w:r w:rsidR="002D584D">
        <w:rPr>
          <w:rFonts w:cs="Arial"/>
          <w:color w:val="111111"/>
          <w:shd w:val="clear" w:color="auto" w:fill="FFFFFF"/>
        </w:rPr>
        <w:t xml:space="preserve">, that have </w:t>
      </w:r>
      <w:r w:rsidRPr="002A783D">
        <w:rPr>
          <w:rFonts w:cs="Arial"/>
          <w:color w:val="111111"/>
          <w:shd w:val="clear" w:color="auto" w:fill="FFFFFF"/>
        </w:rPr>
        <w:t xml:space="preserve">responsibility for the environment to share best </w:t>
      </w:r>
      <w:r w:rsidR="002D584D">
        <w:rPr>
          <w:rFonts w:cs="Arial"/>
          <w:color w:val="111111"/>
          <w:shd w:val="clear" w:color="auto" w:fill="FFFFFF"/>
        </w:rPr>
        <w:t xml:space="preserve">practice, review performance and </w:t>
      </w:r>
      <w:r w:rsidRPr="002A783D">
        <w:rPr>
          <w:rFonts w:cs="Arial"/>
          <w:color w:val="111111"/>
          <w:shd w:val="clear" w:color="auto" w:fill="FFFFFF"/>
        </w:rPr>
        <w:t>discuss policy.</w:t>
      </w:r>
      <w:r w:rsidR="002A783D">
        <w:t xml:space="preserve"> </w:t>
      </w:r>
    </w:p>
    <w:p w:rsidR="002A783D" w:rsidRPr="00450101" w:rsidRDefault="002A783D" w:rsidP="002A783D">
      <w:pPr>
        <w:pStyle w:val="ListParagraph"/>
      </w:pPr>
    </w:p>
    <w:p w:rsidR="002A783D" w:rsidRPr="002D584D" w:rsidRDefault="00450101" w:rsidP="002A783D">
      <w:pPr>
        <w:pStyle w:val="ListParagraph"/>
        <w:numPr>
          <w:ilvl w:val="0"/>
          <w:numId w:val="1"/>
        </w:numPr>
        <w:shd w:val="clear" w:color="auto" w:fill="FFFFFF"/>
        <w:spacing w:after="150" w:line="252" w:lineRule="atLeast"/>
        <w:textAlignment w:val="baseline"/>
        <w:rPr>
          <w:rFonts w:cs="Arial"/>
          <w:color w:val="000000"/>
          <w:lang w:eastAsia="en-GB"/>
        </w:rPr>
      </w:pPr>
      <w:r>
        <w:t>Waste and recycling issues were incorporated</w:t>
      </w:r>
      <w:r w:rsidR="002D584D">
        <w:t xml:space="preserve"> into the Oxfordshire Environment Partnership</w:t>
      </w:r>
      <w:r>
        <w:t xml:space="preserve"> as the result of the dissolution of th</w:t>
      </w:r>
      <w:r w:rsidR="002D584D">
        <w:t xml:space="preserve">e Oxfordshire </w:t>
      </w:r>
      <w:r w:rsidR="006114DE">
        <w:t>Waste Partnership (OWP) in April 2015.  The dissolution of the OWP was a move away from a formal, binding and funded partnership to an informal model based on collaboration and cooperation.</w:t>
      </w:r>
    </w:p>
    <w:p w:rsidR="002D584D" w:rsidRPr="002D584D" w:rsidRDefault="002D584D" w:rsidP="002D584D">
      <w:pPr>
        <w:pStyle w:val="ListParagraph"/>
        <w:rPr>
          <w:rFonts w:cs="Arial"/>
          <w:color w:val="000000"/>
          <w:lang w:eastAsia="en-GB"/>
        </w:rPr>
      </w:pPr>
    </w:p>
    <w:p w:rsidR="002D584D" w:rsidRPr="002D584D" w:rsidRDefault="002D584D" w:rsidP="002A783D">
      <w:pPr>
        <w:pStyle w:val="ListParagraph"/>
        <w:numPr>
          <w:ilvl w:val="0"/>
          <w:numId w:val="1"/>
        </w:numPr>
        <w:shd w:val="clear" w:color="auto" w:fill="FFFFFF"/>
        <w:spacing w:after="150" w:line="252" w:lineRule="atLeast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The partnership meets three times a year at locations across the County.</w:t>
      </w:r>
    </w:p>
    <w:p w:rsidR="002D584D" w:rsidRDefault="002D584D" w:rsidP="002D584D">
      <w:pPr>
        <w:pStyle w:val="ListParagraph"/>
        <w:rPr>
          <w:rFonts w:cs="Arial"/>
          <w:color w:val="000000"/>
          <w:lang w:eastAsia="en-GB"/>
        </w:rPr>
      </w:pPr>
    </w:p>
    <w:p w:rsidR="00AE7874" w:rsidRPr="002D584D" w:rsidRDefault="00AE7874" w:rsidP="002D584D">
      <w:pPr>
        <w:pStyle w:val="ListParagraph"/>
        <w:rPr>
          <w:rFonts w:cs="Arial"/>
          <w:color w:val="000000"/>
          <w:lang w:eastAsia="en-GB"/>
        </w:rPr>
      </w:pPr>
    </w:p>
    <w:p w:rsidR="002D584D" w:rsidRDefault="002D584D" w:rsidP="002D584D">
      <w:pPr>
        <w:shd w:val="clear" w:color="auto" w:fill="FFFFFF"/>
        <w:textAlignment w:val="baseline"/>
        <w:rPr>
          <w:rFonts w:cs="Arial"/>
          <w:b/>
          <w:color w:val="000000"/>
          <w:lang w:eastAsia="en-GB"/>
        </w:rPr>
      </w:pPr>
      <w:r w:rsidRPr="002D584D">
        <w:rPr>
          <w:rFonts w:cs="Arial"/>
          <w:b/>
          <w:color w:val="000000"/>
          <w:lang w:eastAsia="en-GB"/>
        </w:rPr>
        <w:lastRenderedPageBreak/>
        <w:t>Terms of Reference</w:t>
      </w:r>
    </w:p>
    <w:p w:rsidR="002D584D" w:rsidRPr="002D584D" w:rsidRDefault="002D584D" w:rsidP="002D584D">
      <w:pPr>
        <w:shd w:val="clear" w:color="auto" w:fill="FFFFFF"/>
        <w:textAlignment w:val="baseline"/>
        <w:rPr>
          <w:rFonts w:cs="Arial"/>
          <w:b/>
          <w:color w:val="000000"/>
          <w:lang w:eastAsia="en-GB"/>
        </w:rPr>
      </w:pPr>
    </w:p>
    <w:p w:rsidR="002D584D" w:rsidRPr="002D584D" w:rsidRDefault="002D584D" w:rsidP="002D584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The Oxfordshire Environment Partnership focus of the priorities identified by the Oxfordshire 2030 Strategic Plan, and the delivery of commitments based around the following themes:</w:t>
      </w:r>
    </w:p>
    <w:p w:rsidR="002D584D" w:rsidRDefault="002D584D" w:rsidP="002D584D">
      <w:pPr>
        <w:numPr>
          <w:ilvl w:val="0"/>
          <w:numId w:val="4"/>
        </w:numPr>
        <w:spacing w:before="120" w:after="120"/>
      </w:pPr>
      <w:r>
        <w:t>Reduce carbon emissions and improve water and energy efficiency across public sector organisations, and encourage residents and business to do the same</w:t>
      </w:r>
    </w:p>
    <w:p w:rsidR="002D584D" w:rsidRDefault="002D584D" w:rsidP="002D584D">
      <w:pPr>
        <w:numPr>
          <w:ilvl w:val="0"/>
          <w:numId w:val="4"/>
        </w:numPr>
        <w:spacing w:before="120" w:after="120"/>
      </w:pPr>
      <w:r>
        <w:t>Reduce waste and increase reuse and recycling by householders and business</w:t>
      </w:r>
    </w:p>
    <w:p w:rsidR="002D584D" w:rsidRDefault="002D584D" w:rsidP="002D584D">
      <w:pPr>
        <w:numPr>
          <w:ilvl w:val="0"/>
          <w:numId w:val="4"/>
        </w:numPr>
        <w:spacing w:before="120" w:after="120"/>
      </w:pPr>
      <w:r>
        <w:t>Minimise the effects and risk of flooding</w:t>
      </w:r>
    </w:p>
    <w:p w:rsidR="002D584D" w:rsidRDefault="002D584D" w:rsidP="002D584D">
      <w:pPr>
        <w:numPr>
          <w:ilvl w:val="0"/>
          <w:numId w:val="4"/>
        </w:numPr>
        <w:spacing w:before="120" w:after="120"/>
      </w:pPr>
      <w:r>
        <w:t>Ensure new development is built to high standards of sustainability</w:t>
      </w:r>
    </w:p>
    <w:p w:rsidR="002D584D" w:rsidRDefault="002D584D" w:rsidP="002D584D">
      <w:pPr>
        <w:numPr>
          <w:ilvl w:val="0"/>
          <w:numId w:val="4"/>
        </w:numPr>
        <w:spacing w:before="120" w:after="120"/>
      </w:pPr>
      <w:r>
        <w:t>Support individuals, communities and business to respond to climate change</w:t>
      </w:r>
    </w:p>
    <w:p w:rsidR="002D584D" w:rsidRDefault="002D584D" w:rsidP="002D584D">
      <w:pPr>
        <w:numPr>
          <w:ilvl w:val="0"/>
          <w:numId w:val="4"/>
        </w:numPr>
        <w:spacing w:before="120" w:after="120"/>
      </w:pPr>
      <w:r>
        <w:t>Keep Oxfordshire Green and Clean</w:t>
      </w:r>
    </w:p>
    <w:p w:rsidR="002D584D" w:rsidRDefault="002D584D" w:rsidP="002D584D">
      <w:pPr>
        <w:numPr>
          <w:ilvl w:val="0"/>
          <w:numId w:val="4"/>
        </w:numPr>
        <w:spacing w:before="120" w:after="120"/>
      </w:pPr>
      <w:r>
        <w:t>Protect and enhance the biodiversity of the County</w:t>
      </w:r>
    </w:p>
    <w:p w:rsidR="002D584D" w:rsidRDefault="002D584D" w:rsidP="002D584D">
      <w:pPr>
        <w:numPr>
          <w:ilvl w:val="0"/>
          <w:numId w:val="4"/>
        </w:numPr>
        <w:spacing w:before="120" w:after="120"/>
      </w:pPr>
      <w:r>
        <w:t>Reduce the gap between the best and the worst off by targeting our work appropriately</w:t>
      </w:r>
    </w:p>
    <w:p w:rsidR="006114DE" w:rsidRPr="002D584D" w:rsidRDefault="006114DE" w:rsidP="006114DE">
      <w:pPr>
        <w:spacing w:before="120" w:after="120"/>
        <w:ind w:left="1440"/>
      </w:pPr>
    </w:p>
    <w:p w:rsidR="00B33416" w:rsidRDefault="002A783D" w:rsidP="002A783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cs="Arial"/>
          <w:color w:val="000000"/>
          <w:lang w:eastAsia="en-GB"/>
        </w:rPr>
      </w:pPr>
      <w:r w:rsidRPr="002A783D">
        <w:rPr>
          <w:rFonts w:cs="Arial"/>
          <w:color w:val="000000"/>
          <w:lang w:eastAsia="en-GB"/>
        </w:rPr>
        <w:t>Terms of reference were discussed by the partnership</w:t>
      </w:r>
      <w:r w:rsidR="002D584D">
        <w:rPr>
          <w:rFonts w:cs="Arial"/>
          <w:color w:val="000000"/>
          <w:lang w:eastAsia="en-GB"/>
        </w:rPr>
        <w:t xml:space="preserve"> at a meeting </w:t>
      </w:r>
      <w:r w:rsidRPr="002A783D">
        <w:rPr>
          <w:rFonts w:cs="Arial"/>
          <w:color w:val="000000"/>
          <w:lang w:eastAsia="en-GB"/>
        </w:rPr>
        <w:t>in October 2015</w:t>
      </w:r>
      <w:r w:rsidR="002D584D">
        <w:rPr>
          <w:rFonts w:cs="Arial"/>
          <w:color w:val="000000"/>
          <w:lang w:eastAsia="en-GB"/>
        </w:rPr>
        <w:t xml:space="preserve">. The partnership agreed to </w:t>
      </w:r>
      <w:r w:rsidRPr="002A783D">
        <w:rPr>
          <w:rFonts w:cs="Arial"/>
          <w:color w:val="000000"/>
          <w:lang w:eastAsia="en-GB"/>
        </w:rPr>
        <w:t xml:space="preserve">concentrate on waste, biodiversity and best practice.  </w:t>
      </w:r>
    </w:p>
    <w:p w:rsidR="00B33416" w:rsidRDefault="00B33416" w:rsidP="00B33416">
      <w:pPr>
        <w:pStyle w:val="ListParagraph"/>
        <w:shd w:val="clear" w:color="auto" w:fill="FFFFFF"/>
        <w:textAlignment w:val="baseline"/>
        <w:rPr>
          <w:rFonts w:cs="Arial"/>
          <w:color w:val="000000"/>
          <w:lang w:eastAsia="en-GB"/>
        </w:rPr>
      </w:pPr>
    </w:p>
    <w:p w:rsidR="002A783D" w:rsidRDefault="002A783D" w:rsidP="002A783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cs="Arial"/>
          <w:color w:val="000000"/>
          <w:lang w:eastAsia="en-GB"/>
        </w:rPr>
      </w:pPr>
      <w:r w:rsidRPr="002A783D">
        <w:rPr>
          <w:rFonts w:cs="Arial"/>
          <w:color w:val="000000"/>
          <w:lang w:eastAsia="en-GB"/>
        </w:rPr>
        <w:t xml:space="preserve">Membership is elected representative from each authority and the Chair rotates with three meetings a year.  </w:t>
      </w:r>
    </w:p>
    <w:p w:rsidR="002A783D" w:rsidRPr="002A783D" w:rsidRDefault="002A783D" w:rsidP="002A783D">
      <w:pPr>
        <w:pStyle w:val="ListParagraph"/>
        <w:rPr>
          <w:rFonts w:cs="Arial"/>
          <w:color w:val="000000"/>
          <w:lang w:eastAsia="en-GB"/>
        </w:rPr>
      </w:pPr>
    </w:p>
    <w:p w:rsidR="00470F49" w:rsidRDefault="00510BEF" w:rsidP="002A783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cs="Arial"/>
          <w:color w:val="000000"/>
          <w:lang w:eastAsia="en-GB"/>
        </w:rPr>
      </w:pPr>
      <w:r>
        <w:rPr>
          <w:rFonts w:cs="Arial"/>
        </w:rPr>
        <w:t>T</w:t>
      </w:r>
      <w:r w:rsidR="00470F49" w:rsidRPr="00470F49">
        <w:rPr>
          <w:rFonts w:cs="Arial"/>
        </w:rPr>
        <w:t>he Partnership</w:t>
      </w:r>
      <w:r>
        <w:rPr>
          <w:rFonts w:cs="Arial"/>
        </w:rPr>
        <w:t xml:space="preserve"> has previously sought to </w:t>
      </w:r>
      <w:r w:rsidR="00470F49" w:rsidRPr="00470F49">
        <w:rPr>
          <w:rFonts w:cs="Arial"/>
        </w:rPr>
        <w:t>deliver the commitment</w:t>
      </w:r>
      <w:r>
        <w:rPr>
          <w:rFonts w:cs="Arial"/>
        </w:rPr>
        <w:t xml:space="preserve">s of Climate Local, an </w:t>
      </w:r>
      <w:r w:rsidR="00470F49" w:rsidRPr="00470F49">
        <w:rPr>
          <w:rFonts w:cs="Arial"/>
          <w:color w:val="000000"/>
          <w:lang w:eastAsia="en-GB"/>
        </w:rPr>
        <w:t>LGA initiative</w:t>
      </w:r>
      <w:r w:rsidR="0018702E">
        <w:rPr>
          <w:rFonts w:cs="Arial"/>
          <w:color w:val="000000"/>
          <w:lang w:eastAsia="en-GB"/>
        </w:rPr>
        <w:t xml:space="preserve"> on climate change</w:t>
      </w:r>
      <w:r w:rsidR="00470F49" w:rsidRPr="00470F49">
        <w:rPr>
          <w:rFonts w:cs="Arial"/>
          <w:color w:val="000000"/>
          <w:lang w:eastAsia="en-GB"/>
        </w:rPr>
        <w:t xml:space="preserve">, supported by the Environment </w:t>
      </w:r>
      <w:proofErr w:type="gramStart"/>
      <w:r w:rsidR="00470F49" w:rsidRPr="00470F49">
        <w:rPr>
          <w:rFonts w:cs="Arial"/>
          <w:color w:val="000000"/>
          <w:lang w:eastAsia="en-GB"/>
        </w:rPr>
        <w:t>Agency,</w:t>
      </w:r>
      <w:proofErr w:type="gramEnd"/>
      <w:r w:rsidR="00470F49" w:rsidRPr="00470F49">
        <w:rPr>
          <w:rFonts w:cs="Arial"/>
          <w:color w:val="000000"/>
          <w:lang w:eastAsia="en-GB"/>
        </w:rPr>
        <w:t> </w:t>
      </w:r>
      <w:r w:rsidR="0018702E">
        <w:rPr>
          <w:rFonts w:cs="Arial"/>
          <w:color w:val="000000"/>
          <w:lang w:eastAsia="en-GB"/>
        </w:rPr>
        <w:t>however t</w:t>
      </w:r>
      <w:r>
        <w:rPr>
          <w:rFonts w:cs="Arial"/>
          <w:color w:val="000000"/>
          <w:lang w:eastAsia="en-GB"/>
        </w:rPr>
        <w:t>his programme ended in March 2016.</w:t>
      </w:r>
    </w:p>
    <w:p w:rsidR="00572874" w:rsidRPr="00572874" w:rsidRDefault="00572874" w:rsidP="00572874">
      <w:pPr>
        <w:pStyle w:val="ListParagraph"/>
        <w:rPr>
          <w:rFonts w:cs="Arial"/>
          <w:color w:val="000000"/>
          <w:lang w:eastAsia="en-GB"/>
        </w:rPr>
      </w:pPr>
    </w:p>
    <w:p w:rsidR="009A486B" w:rsidRPr="009A486B" w:rsidRDefault="00572874" w:rsidP="002A783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cs="Arial"/>
          <w:color w:val="000000"/>
          <w:lang w:eastAsia="en-GB"/>
        </w:rPr>
      </w:pPr>
      <w:r w:rsidRPr="009A486B">
        <w:rPr>
          <w:rFonts w:cs="Arial"/>
          <w:color w:val="000000"/>
          <w:lang w:eastAsia="en-GB"/>
        </w:rPr>
        <w:t>The ending of the Climate</w:t>
      </w:r>
      <w:r w:rsidR="009A486B" w:rsidRPr="009A486B">
        <w:rPr>
          <w:rFonts w:cs="Arial"/>
          <w:color w:val="000000"/>
          <w:lang w:eastAsia="en-GB"/>
        </w:rPr>
        <w:t xml:space="preserve"> Local initiative was marked with a </w:t>
      </w:r>
      <w:r w:rsidRPr="009A486B">
        <w:rPr>
          <w:rFonts w:cs="Arial"/>
          <w:color w:val="000000"/>
          <w:lang w:eastAsia="en-GB"/>
        </w:rPr>
        <w:t>report</w:t>
      </w:r>
      <w:r w:rsidR="009A486B" w:rsidRPr="009A486B">
        <w:rPr>
          <w:rFonts w:cs="Arial"/>
          <w:color w:val="000000"/>
          <w:lang w:eastAsia="en-GB"/>
        </w:rPr>
        <w:t xml:space="preserve"> (</w:t>
      </w:r>
      <w:hyperlink r:id="rId10" w:history="1">
        <w:r w:rsidR="009A486B" w:rsidRPr="009A486B">
          <w:rPr>
            <w:rStyle w:val="Hyperlink"/>
            <w:rFonts w:cs="Arial"/>
            <w:b/>
            <w:bCs/>
            <w:color w:val="0079BF"/>
            <w:shd w:val="clear" w:color="auto" w:fill="FFFFFF"/>
          </w:rPr>
          <w:t>Climate Local annual report 2015/16 (PDF)</w:t>
        </w:r>
      </w:hyperlink>
      <w:r w:rsidR="009A486B">
        <w:t>)</w:t>
      </w:r>
      <w:r w:rsidR="009A486B" w:rsidRPr="009A486B">
        <w:rPr>
          <w:rFonts w:cs="Arial"/>
          <w:color w:val="000000"/>
          <w:lang w:eastAsia="en-GB"/>
        </w:rPr>
        <w:t xml:space="preserve"> on </w:t>
      </w:r>
      <w:r w:rsidRPr="009A486B">
        <w:rPr>
          <w:rFonts w:cs="Arial"/>
          <w:color w:val="000000"/>
          <w:lang w:eastAsia="en-GB"/>
        </w:rPr>
        <w:t>activities across England.  This report noted the co-ordinated work in Oxfordshire between partner authorities. It also noted that local authorities</w:t>
      </w:r>
      <w:r w:rsidR="009A486B">
        <w:rPr>
          <w:rFonts w:cs="Arial"/>
          <w:color w:val="000000"/>
          <w:lang w:eastAsia="en-GB"/>
        </w:rPr>
        <w:t xml:space="preserve"> a facing barriers to action on climate change which was </w:t>
      </w:r>
      <w:r w:rsidRPr="009A486B">
        <w:rPr>
          <w:rFonts w:cs="Arial"/>
          <w:color w:val="000000"/>
          <w:lang w:eastAsia="en-GB"/>
        </w:rPr>
        <w:t>“</w:t>
      </w:r>
      <w:r w:rsidR="009A486B" w:rsidRPr="009A486B">
        <w:rPr>
          <w:rFonts w:cs="Arial"/>
          <w:i/>
          <w:color w:val="000000"/>
          <w:lang w:eastAsia="en-GB"/>
        </w:rPr>
        <w:t>u</w:t>
      </w:r>
      <w:r w:rsidRPr="009A486B">
        <w:rPr>
          <w:i/>
        </w:rPr>
        <w:t>nsurprisingly, given the funding cuts that local authorities currently face</w:t>
      </w:r>
      <w:r w:rsidR="009A486B">
        <w:rPr>
          <w:i/>
        </w:rPr>
        <w:t xml:space="preserve">”. </w:t>
      </w:r>
      <w:r>
        <w:t xml:space="preserve"> </w:t>
      </w:r>
    </w:p>
    <w:p w:rsidR="009A486B" w:rsidRDefault="009A486B" w:rsidP="009A486B">
      <w:pPr>
        <w:pStyle w:val="ListParagraph"/>
      </w:pPr>
    </w:p>
    <w:p w:rsidR="00572874" w:rsidRDefault="009A486B" w:rsidP="002A783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cs="Arial"/>
          <w:color w:val="000000"/>
          <w:lang w:eastAsia="en-GB"/>
        </w:rPr>
      </w:pPr>
      <w:r>
        <w:t>The report went on to note that local authorities “</w:t>
      </w:r>
      <w:r w:rsidR="00572874" w:rsidRPr="009A486B">
        <w:rPr>
          <w:i/>
        </w:rPr>
        <w:t>identified ways to work around these challenges, for example by working in partnership with other organisations</w:t>
      </w:r>
      <w:r w:rsidRPr="009A486B">
        <w:rPr>
          <w:i/>
        </w:rPr>
        <w:t>…</w:t>
      </w:r>
      <w:r w:rsidR="00572874" w:rsidRPr="009A486B">
        <w:rPr>
          <w:i/>
        </w:rPr>
        <w:t>more councils are likely to have adopted creative examples to help deliver climate</w:t>
      </w:r>
      <w:r w:rsidRPr="009A486B">
        <w:rPr>
          <w:i/>
        </w:rPr>
        <w:t xml:space="preserve"> </w:t>
      </w:r>
      <w:r w:rsidR="00572874" w:rsidRPr="009A486B">
        <w:rPr>
          <w:i/>
        </w:rPr>
        <w:t>related actions in the face of continued public spending constraints</w:t>
      </w:r>
      <w:r w:rsidR="00572874">
        <w:t>.</w:t>
      </w:r>
      <w:r>
        <w:t>”</w:t>
      </w:r>
    </w:p>
    <w:p w:rsidR="002A783D" w:rsidRDefault="002A783D" w:rsidP="002A783D">
      <w:pPr>
        <w:pStyle w:val="ListParagraph"/>
        <w:rPr>
          <w:rFonts w:cs="Arial"/>
          <w:color w:val="000000"/>
          <w:lang w:eastAsia="en-GB"/>
        </w:rPr>
      </w:pPr>
    </w:p>
    <w:p w:rsidR="00AE7874" w:rsidRPr="002A783D" w:rsidRDefault="00AE7874" w:rsidP="002A783D">
      <w:pPr>
        <w:pStyle w:val="ListParagraph"/>
        <w:rPr>
          <w:rFonts w:cs="Arial"/>
          <w:color w:val="000000"/>
          <w:lang w:eastAsia="en-GB"/>
        </w:rPr>
      </w:pPr>
    </w:p>
    <w:p w:rsidR="00470F49" w:rsidRPr="00470F49" w:rsidRDefault="00510BEF" w:rsidP="00470F49">
      <w:pPr>
        <w:shd w:val="clear" w:color="auto" w:fill="FFFFFF"/>
        <w:spacing w:after="150" w:line="252" w:lineRule="atLeast"/>
        <w:textAlignment w:val="baseline"/>
        <w:rPr>
          <w:rFonts w:cs="Arial"/>
          <w:b/>
          <w:color w:val="000000"/>
          <w:lang w:eastAsia="en-GB"/>
        </w:rPr>
      </w:pPr>
      <w:r>
        <w:rPr>
          <w:rFonts w:cs="Arial"/>
          <w:b/>
          <w:color w:val="000000"/>
          <w:lang w:eastAsia="en-GB"/>
        </w:rPr>
        <w:lastRenderedPageBreak/>
        <w:t>Activities</w:t>
      </w:r>
      <w:r w:rsidR="002A783D">
        <w:rPr>
          <w:rFonts w:cs="Arial"/>
          <w:b/>
          <w:color w:val="000000"/>
          <w:lang w:eastAsia="en-GB"/>
        </w:rPr>
        <w:t xml:space="preserve"> in the last 12 months</w:t>
      </w:r>
    </w:p>
    <w:p w:rsidR="00470F49" w:rsidRDefault="005A6CDC" w:rsidP="00470F49">
      <w:pPr>
        <w:pStyle w:val="ListParagraph"/>
        <w:numPr>
          <w:ilvl w:val="0"/>
          <w:numId w:val="1"/>
        </w:numPr>
        <w:shd w:val="clear" w:color="auto" w:fill="FFFFFF"/>
        <w:spacing w:after="150" w:line="252" w:lineRule="atLeast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The </w:t>
      </w:r>
      <w:r w:rsidR="009A486B">
        <w:rPr>
          <w:rFonts w:cs="Arial"/>
          <w:color w:val="000000"/>
          <w:lang w:eastAsia="en-GB"/>
        </w:rPr>
        <w:t>Oxford Environment P</w:t>
      </w:r>
      <w:r>
        <w:rPr>
          <w:rFonts w:cs="Arial"/>
          <w:color w:val="000000"/>
          <w:lang w:eastAsia="en-GB"/>
        </w:rPr>
        <w:t>artnership</w:t>
      </w:r>
      <w:r w:rsidR="009A486B">
        <w:rPr>
          <w:rFonts w:cs="Arial"/>
          <w:color w:val="000000"/>
          <w:lang w:eastAsia="en-GB"/>
        </w:rPr>
        <w:t xml:space="preserve"> has over the past twelve months continued to seek out and learn from best practice both within the county and beyond.  The past year has seen a wide range of best practice presentations including the </w:t>
      </w:r>
      <w:r>
        <w:rPr>
          <w:rFonts w:cs="Arial"/>
          <w:color w:val="000000"/>
          <w:lang w:eastAsia="en-GB"/>
        </w:rPr>
        <w:t>following:</w:t>
      </w:r>
    </w:p>
    <w:tbl>
      <w:tblPr>
        <w:tblStyle w:val="TableGrid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Title</w:t>
            </w:r>
          </w:p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Presentation by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Grid Capacity in Oxfordshire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Low Carbon Hub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Heat Network for Bicester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lang w:eastAsia="en-GB"/>
              </w:rPr>
              <w:t>BioRegional</w:t>
            </w:r>
            <w:proofErr w:type="spellEnd"/>
            <w:r>
              <w:rPr>
                <w:rFonts w:cs="Arial"/>
                <w:color w:val="000000"/>
                <w:lang w:eastAsia="en-GB"/>
              </w:rPr>
              <w:t>/Cherwell District Council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Energy from Waste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Oxfordshire County Council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Flood Risk Management Strategy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Oxfordshire County Council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Oxfordshire Woodlands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Oxfordshire County Council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Local Nature Partnership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Oxfordshire County Council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Food and Garden Waste Processing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lang w:eastAsia="en-GB"/>
              </w:rPr>
              <w:t>Agrivert</w:t>
            </w:r>
            <w:proofErr w:type="spellEnd"/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lang w:eastAsia="en-GB"/>
              </w:rPr>
              <w:t>Courtauld</w:t>
            </w:r>
            <w:proofErr w:type="spellEnd"/>
            <w:r>
              <w:rPr>
                <w:rFonts w:cs="Arial"/>
                <w:color w:val="000000"/>
                <w:lang w:eastAsia="en-GB"/>
              </w:rPr>
              <w:t xml:space="preserve"> Commitment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WRAP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Recycling in flats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Oxford City Council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Recycling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incentivisation</w:t>
            </w:r>
            <w:proofErr w:type="spellEnd"/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Oxford City Council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lang w:eastAsia="en-GB"/>
              </w:rPr>
              <w:t>Foodwise</w:t>
            </w:r>
            <w:proofErr w:type="spellEnd"/>
            <w:r>
              <w:rPr>
                <w:rFonts w:cs="Arial"/>
                <w:color w:val="000000"/>
                <w:lang w:eastAsia="en-GB"/>
              </w:rPr>
              <w:t xml:space="preserve"> Commercial Food Recycling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Oxfordshire County Council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Countywide Carbon Emissions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Aether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lang w:eastAsia="en-GB"/>
              </w:rPr>
              <w:t>OxFutures</w:t>
            </w:r>
            <w:proofErr w:type="spellEnd"/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Oxford City Council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Sustainable Energy Action Plan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Oxford City Council</w:t>
            </w:r>
          </w:p>
        </w:tc>
      </w:tr>
      <w:tr w:rsidR="00F73116" w:rsidTr="001E2EB8">
        <w:tc>
          <w:tcPr>
            <w:tcW w:w="4394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Local Energy Mapping</w:t>
            </w:r>
          </w:p>
        </w:tc>
        <w:tc>
          <w:tcPr>
            <w:tcW w:w="4253" w:type="dxa"/>
          </w:tcPr>
          <w:p w:rsidR="00F73116" w:rsidRDefault="00F73116" w:rsidP="001E2EB8">
            <w:pPr>
              <w:spacing w:line="252" w:lineRule="atLeast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Oxford Brookes University</w:t>
            </w:r>
          </w:p>
        </w:tc>
      </w:tr>
    </w:tbl>
    <w:p w:rsidR="00F73116" w:rsidRDefault="00F73116" w:rsidP="00F73116">
      <w:pPr>
        <w:shd w:val="clear" w:color="auto" w:fill="FFFFFF"/>
        <w:spacing w:after="150" w:line="252" w:lineRule="atLeast"/>
        <w:textAlignment w:val="baseline"/>
        <w:rPr>
          <w:rFonts w:cs="Arial"/>
          <w:color w:val="000000"/>
          <w:lang w:eastAsia="en-GB"/>
        </w:rPr>
      </w:pPr>
    </w:p>
    <w:p w:rsidR="00F73116" w:rsidRDefault="00F73116" w:rsidP="00F73116">
      <w:pPr>
        <w:pStyle w:val="ListParagraph"/>
        <w:numPr>
          <w:ilvl w:val="0"/>
          <w:numId w:val="1"/>
        </w:numPr>
        <w:shd w:val="clear" w:color="auto" w:fill="FFFFFF"/>
        <w:spacing w:after="150" w:line="252" w:lineRule="atLeast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The partnership also received performance reporting information on waste and recycling along w</w:t>
      </w:r>
      <w:r w:rsidR="006114DE">
        <w:rPr>
          <w:rFonts w:cs="Arial"/>
          <w:color w:val="000000"/>
          <w:lang w:eastAsia="en-GB"/>
        </w:rPr>
        <w:t>ith carbon emissions reductions on a county wide basis.</w:t>
      </w:r>
    </w:p>
    <w:p w:rsidR="00A02CAB" w:rsidRDefault="00A02CAB" w:rsidP="00A02CAB">
      <w:pPr>
        <w:pStyle w:val="ListParagraph"/>
        <w:shd w:val="clear" w:color="auto" w:fill="FFFFFF"/>
        <w:spacing w:after="150" w:line="252" w:lineRule="atLeast"/>
        <w:textAlignment w:val="baseline"/>
        <w:rPr>
          <w:rFonts w:cs="Arial"/>
          <w:color w:val="000000"/>
          <w:lang w:eastAsia="en-GB"/>
        </w:rPr>
      </w:pPr>
    </w:p>
    <w:p w:rsidR="00A02CAB" w:rsidRPr="00A02CAB" w:rsidRDefault="00A02CAB" w:rsidP="00A02CAB">
      <w:pPr>
        <w:pStyle w:val="ListParagraph"/>
        <w:numPr>
          <w:ilvl w:val="0"/>
          <w:numId w:val="1"/>
        </w:numPr>
        <w:shd w:val="clear" w:color="auto" w:fill="FFFFFF"/>
        <w:spacing w:after="150" w:line="252" w:lineRule="atLeast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As a result of the Partnership, Oxford City Council has worked with others to examine grid capacity issues, signed up to the </w:t>
      </w:r>
      <w:proofErr w:type="spellStart"/>
      <w:r>
        <w:rPr>
          <w:rFonts w:cs="Arial"/>
          <w:color w:val="000000"/>
          <w:lang w:eastAsia="en-GB"/>
        </w:rPr>
        <w:t>Courtauld</w:t>
      </w:r>
      <w:proofErr w:type="spellEnd"/>
      <w:r>
        <w:rPr>
          <w:rFonts w:cs="Arial"/>
          <w:color w:val="000000"/>
          <w:lang w:eastAsia="en-GB"/>
        </w:rPr>
        <w:t xml:space="preserve"> Commitment 2025, developed work on heat networks in the city, and continues to review ways to reduce carbon emissions across the city.</w:t>
      </w:r>
    </w:p>
    <w:p w:rsidR="00F73116" w:rsidRPr="00F73116" w:rsidRDefault="00F73116" w:rsidP="00F73116">
      <w:pPr>
        <w:shd w:val="clear" w:color="auto" w:fill="FFFFFF"/>
        <w:spacing w:after="150" w:line="252" w:lineRule="atLeast"/>
        <w:textAlignment w:val="baseline"/>
        <w:rPr>
          <w:rFonts w:cs="Arial"/>
          <w:b/>
          <w:color w:val="000000"/>
          <w:lang w:eastAsia="en-GB"/>
        </w:rPr>
      </w:pPr>
      <w:r w:rsidRPr="00F73116">
        <w:rPr>
          <w:rFonts w:cs="Arial"/>
          <w:b/>
          <w:color w:val="000000"/>
          <w:lang w:eastAsia="en-GB"/>
        </w:rPr>
        <w:t>Forward work programme</w:t>
      </w:r>
    </w:p>
    <w:p w:rsidR="006114DE" w:rsidRDefault="006114DE" w:rsidP="00470F49">
      <w:pPr>
        <w:pStyle w:val="ListParagraph"/>
        <w:numPr>
          <w:ilvl w:val="0"/>
          <w:numId w:val="1"/>
        </w:numPr>
        <w:shd w:val="clear" w:color="auto" w:fill="FFFFFF"/>
        <w:spacing w:after="150" w:line="252" w:lineRule="atLeast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The forward programme is set at each meeting.  Items that are due to be discussed in 2016 include:</w:t>
      </w:r>
    </w:p>
    <w:p w:rsidR="006114DE" w:rsidRDefault="006114DE" w:rsidP="006114DE">
      <w:pPr>
        <w:pStyle w:val="ListParagraph"/>
        <w:shd w:val="clear" w:color="auto" w:fill="FFFFFF"/>
        <w:spacing w:after="150" w:line="252" w:lineRule="atLeast"/>
        <w:textAlignment w:val="baseline"/>
        <w:rPr>
          <w:rFonts w:cs="Arial"/>
          <w:color w:val="000000"/>
          <w:lang w:eastAsia="en-GB"/>
        </w:rPr>
      </w:pPr>
    </w:p>
    <w:p w:rsidR="006114DE" w:rsidRDefault="006114DE" w:rsidP="006114DE">
      <w:pPr>
        <w:pStyle w:val="ListParagraph"/>
        <w:numPr>
          <w:ilvl w:val="0"/>
          <w:numId w:val="6"/>
        </w:numPr>
        <w:shd w:val="clear" w:color="auto" w:fill="FFFFFF"/>
        <w:spacing w:after="150" w:line="252" w:lineRule="atLeast"/>
        <w:ind w:left="1080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Oxfordshire Flood Toolkit</w:t>
      </w:r>
    </w:p>
    <w:p w:rsidR="006114DE" w:rsidRDefault="006114DE" w:rsidP="006114DE">
      <w:pPr>
        <w:pStyle w:val="ListParagraph"/>
        <w:numPr>
          <w:ilvl w:val="0"/>
          <w:numId w:val="6"/>
        </w:numPr>
        <w:shd w:val="clear" w:color="auto" w:fill="FFFFFF"/>
        <w:spacing w:after="150" w:line="252" w:lineRule="atLeast"/>
        <w:ind w:left="1080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An update on food waste project</w:t>
      </w:r>
    </w:p>
    <w:p w:rsidR="006114DE" w:rsidRDefault="006114DE" w:rsidP="006114DE">
      <w:pPr>
        <w:pStyle w:val="ListParagraph"/>
        <w:numPr>
          <w:ilvl w:val="0"/>
          <w:numId w:val="6"/>
        </w:numPr>
        <w:shd w:val="clear" w:color="auto" w:fill="FFFFFF"/>
        <w:spacing w:after="150" w:line="252" w:lineRule="atLeast"/>
        <w:ind w:left="1080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Assessment of recycling promotion campaigns</w:t>
      </w:r>
    </w:p>
    <w:p w:rsidR="00A02CAB" w:rsidRDefault="006114DE" w:rsidP="00F73116">
      <w:pPr>
        <w:pStyle w:val="ListParagraph"/>
        <w:numPr>
          <w:ilvl w:val="0"/>
          <w:numId w:val="6"/>
        </w:numPr>
        <w:shd w:val="clear" w:color="auto" w:fill="FFFFFF"/>
        <w:spacing w:after="150" w:line="252" w:lineRule="atLeast"/>
        <w:ind w:left="1080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E</w:t>
      </w:r>
      <w:r w:rsidR="00F73116">
        <w:rPr>
          <w:rFonts w:cs="Arial"/>
          <w:color w:val="000000"/>
          <w:lang w:eastAsia="en-GB"/>
        </w:rPr>
        <w:t xml:space="preserve">valuation of </w:t>
      </w:r>
      <w:r>
        <w:rPr>
          <w:rFonts w:cs="Arial"/>
          <w:color w:val="000000"/>
          <w:lang w:eastAsia="en-GB"/>
        </w:rPr>
        <w:t xml:space="preserve">the </w:t>
      </w:r>
      <w:r w:rsidR="00F73116">
        <w:rPr>
          <w:rFonts w:cs="Arial"/>
          <w:color w:val="000000"/>
          <w:lang w:eastAsia="en-GB"/>
        </w:rPr>
        <w:t xml:space="preserve">impact </w:t>
      </w:r>
      <w:r>
        <w:rPr>
          <w:rFonts w:cs="Arial"/>
          <w:color w:val="000000"/>
          <w:lang w:eastAsia="en-GB"/>
        </w:rPr>
        <w:t xml:space="preserve">as a result of the loss </w:t>
      </w:r>
      <w:r w:rsidR="00F73116">
        <w:rPr>
          <w:rFonts w:cs="Arial"/>
          <w:color w:val="000000"/>
          <w:lang w:eastAsia="en-GB"/>
        </w:rPr>
        <w:t xml:space="preserve">of </w:t>
      </w:r>
      <w:r>
        <w:rPr>
          <w:rFonts w:cs="Arial"/>
          <w:color w:val="000000"/>
          <w:lang w:eastAsia="en-GB"/>
        </w:rPr>
        <w:t xml:space="preserve">the </w:t>
      </w:r>
      <w:r w:rsidR="002D584D">
        <w:rPr>
          <w:rFonts w:cs="Arial"/>
          <w:color w:val="000000"/>
          <w:lang w:eastAsia="en-GB"/>
        </w:rPr>
        <w:t>Oxfordshire Waste Partnership officer post.</w:t>
      </w:r>
    </w:p>
    <w:p w:rsidR="00AE7874" w:rsidRPr="00AE7874" w:rsidRDefault="00AE7874" w:rsidP="00AE7874">
      <w:pPr>
        <w:pStyle w:val="ListParagraph"/>
        <w:shd w:val="clear" w:color="auto" w:fill="FFFFFF"/>
        <w:spacing w:after="150" w:line="252" w:lineRule="atLeast"/>
        <w:ind w:left="1080"/>
        <w:textAlignment w:val="baseline"/>
        <w:rPr>
          <w:rFonts w:cs="Arial"/>
          <w:color w:val="000000"/>
          <w:lang w:eastAsia="en-GB"/>
        </w:rPr>
      </w:pPr>
    </w:p>
    <w:p w:rsidR="00F73116" w:rsidRPr="00F73116" w:rsidRDefault="00F73116" w:rsidP="00F73116">
      <w:pPr>
        <w:shd w:val="clear" w:color="auto" w:fill="FFFFFF"/>
        <w:spacing w:after="150" w:line="252" w:lineRule="atLeast"/>
        <w:textAlignment w:val="baseline"/>
        <w:rPr>
          <w:rFonts w:cs="Arial"/>
          <w:b/>
          <w:color w:val="000000"/>
          <w:lang w:eastAsia="en-GB"/>
        </w:rPr>
      </w:pPr>
      <w:r w:rsidRPr="00F73116">
        <w:rPr>
          <w:rFonts w:cs="Arial"/>
          <w:b/>
          <w:color w:val="000000"/>
          <w:lang w:eastAsia="en-GB"/>
        </w:rPr>
        <w:t>Legal issues</w:t>
      </w:r>
    </w:p>
    <w:p w:rsidR="00F73116" w:rsidRDefault="00F73116" w:rsidP="00F73116">
      <w:pPr>
        <w:pStyle w:val="ListParagraph"/>
        <w:numPr>
          <w:ilvl w:val="0"/>
          <w:numId w:val="1"/>
        </w:numPr>
        <w:shd w:val="clear" w:color="auto" w:fill="FFFFFF"/>
        <w:spacing w:after="150" w:line="252" w:lineRule="atLeast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The partnership has no formal decision making powers</w:t>
      </w:r>
      <w:r w:rsidR="002D584D">
        <w:rPr>
          <w:rFonts w:cs="Arial"/>
          <w:color w:val="000000"/>
          <w:lang w:eastAsia="en-GB"/>
        </w:rPr>
        <w:t>.  Any implementation actions are determined by individual authorities.</w:t>
      </w:r>
    </w:p>
    <w:p w:rsidR="00AE7874" w:rsidRPr="00AE7874" w:rsidRDefault="00AE7874" w:rsidP="00AE7874">
      <w:pPr>
        <w:shd w:val="clear" w:color="auto" w:fill="FFFFFF"/>
        <w:spacing w:after="150" w:line="252" w:lineRule="atLeast"/>
        <w:ind w:left="360"/>
        <w:textAlignment w:val="baseline"/>
        <w:rPr>
          <w:rFonts w:cs="Arial"/>
          <w:color w:val="000000"/>
          <w:lang w:eastAsia="en-GB"/>
        </w:rPr>
      </w:pPr>
    </w:p>
    <w:p w:rsidR="00F73116" w:rsidRPr="00F73116" w:rsidRDefault="00F73116" w:rsidP="00F73116">
      <w:pPr>
        <w:shd w:val="clear" w:color="auto" w:fill="FFFFFF"/>
        <w:spacing w:after="150" w:line="252" w:lineRule="atLeast"/>
        <w:textAlignment w:val="baseline"/>
        <w:rPr>
          <w:rFonts w:cs="Arial"/>
          <w:b/>
          <w:color w:val="000000"/>
          <w:lang w:eastAsia="en-GB"/>
        </w:rPr>
      </w:pPr>
      <w:r w:rsidRPr="00F73116">
        <w:rPr>
          <w:rFonts w:cs="Arial"/>
          <w:b/>
          <w:color w:val="000000"/>
          <w:lang w:eastAsia="en-GB"/>
        </w:rPr>
        <w:lastRenderedPageBreak/>
        <w:t>Financial issues</w:t>
      </w:r>
    </w:p>
    <w:p w:rsidR="00F73116" w:rsidRDefault="00F73116" w:rsidP="00470F49">
      <w:pPr>
        <w:pStyle w:val="ListParagraph"/>
        <w:numPr>
          <w:ilvl w:val="0"/>
          <w:numId w:val="1"/>
        </w:numPr>
        <w:shd w:val="clear" w:color="auto" w:fill="FFFFFF"/>
        <w:spacing w:after="150" w:line="252" w:lineRule="atLeast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The partnership draws on ‘in kind’ resources from member authorities but holds no commissioning budget.</w:t>
      </w:r>
    </w:p>
    <w:p w:rsidR="00AE7874" w:rsidRDefault="00AE7874">
      <w:pPr>
        <w:rPr>
          <w:b/>
          <w:bCs/>
        </w:rPr>
      </w:pPr>
    </w:p>
    <w:p w:rsidR="00AE7874" w:rsidRDefault="00AE7874">
      <w:pPr>
        <w:rPr>
          <w:b/>
          <w:bCs/>
        </w:rPr>
      </w:pPr>
    </w:p>
    <w:p w:rsidR="007E6C99" w:rsidRDefault="00890110">
      <w:pPr>
        <w:rPr>
          <w:b/>
          <w:bCs/>
        </w:rPr>
      </w:pPr>
      <w:r>
        <w:rPr>
          <w:b/>
          <w:bCs/>
        </w:rPr>
        <w:t xml:space="preserve">Name and contact details of author: </w:t>
      </w:r>
    </w:p>
    <w:p w:rsidR="006114DE" w:rsidRPr="006114DE" w:rsidRDefault="006114DE">
      <w:pPr>
        <w:rPr>
          <w:bCs/>
        </w:rPr>
      </w:pPr>
      <w:r w:rsidRPr="006114DE">
        <w:rPr>
          <w:b/>
          <w:bCs/>
        </w:rPr>
        <w:t>Name:</w:t>
      </w:r>
      <w:r>
        <w:rPr>
          <w:bCs/>
        </w:rPr>
        <w:t xml:space="preserve"> </w:t>
      </w:r>
      <w:r w:rsidRPr="006114DE">
        <w:rPr>
          <w:bCs/>
        </w:rPr>
        <w:t>Jo Colwell</w:t>
      </w:r>
    </w:p>
    <w:p w:rsidR="006114DE" w:rsidRDefault="006114DE">
      <w:pPr>
        <w:rPr>
          <w:bCs/>
        </w:rPr>
      </w:pPr>
      <w:r w:rsidRPr="006114DE">
        <w:rPr>
          <w:b/>
          <w:bCs/>
        </w:rPr>
        <w:t>Job Title:</w:t>
      </w:r>
      <w:r>
        <w:rPr>
          <w:bCs/>
        </w:rPr>
        <w:t xml:space="preserve"> </w:t>
      </w:r>
      <w:r w:rsidRPr="006114DE">
        <w:rPr>
          <w:bCs/>
        </w:rPr>
        <w:t>Environmental Sustainability Service Manager</w:t>
      </w:r>
    </w:p>
    <w:p w:rsidR="006114DE" w:rsidRPr="006114DE" w:rsidRDefault="006114DE">
      <w:pPr>
        <w:rPr>
          <w:bCs/>
        </w:rPr>
      </w:pPr>
      <w:r w:rsidRPr="006114DE">
        <w:rPr>
          <w:b/>
          <w:bCs/>
        </w:rPr>
        <w:t>Service Area</w:t>
      </w:r>
      <w:r>
        <w:rPr>
          <w:bCs/>
        </w:rPr>
        <w:t>: Environmental Sustainability</w:t>
      </w:r>
    </w:p>
    <w:p w:rsidR="006114DE" w:rsidRPr="006114DE" w:rsidRDefault="006114DE">
      <w:pPr>
        <w:rPr>
          <w:bCs/>
        </w:rPr>
      </w:pPr>
      <w:r>
        <w:rPr>
          <w:b/>
          <w:bCs/>
        </w:rPr>
        <w:t xml:space="preserve">Tel: </w:t>
      </w:r>
      <w:r w:rsidRPr="006114DE">
        <w:rPr>
          <w:bCs/>
        </w:rPr>
        <w:t>01865 252188</w:t>
      </w:r>
    </w:p>
    <w:p w:rsidR="006114DE" w:rsidRDefault="006114DE">
      <w:pPr>
        <w:rPr>
          <w:b/>
          <w:bCs/>
        </w:rPr>
      </w:pPr>
      <w:proofErr w:type="gramStart"/>
      <w:r>
        <w:rPr>
          <w:b/>
          <w:bCs/>
        </w:rPr>
        <w:t>e-mail</w:t>
      </w:r>
      <w:proofErr w:type="gramEnd"/>
      <w:r>
        <w:rPr>
          <w:b/>
          <w:bCs/>
        </w:rPr>
        <w:t xml:space="preserve">: </w:t>
      </w:r>
      <w:r w:rsidRPr="006114DE">
        <w:rPr>
          <w:bCs/>
        </w:rPr>
        <w:t>jcolwell@oxford.gov.uk</w:t>
      </w:r>
    </w:p>
    <w:p w:rsidR="007E6C99" w:rsidRDefault="00890110">
      <w:pPr>
        <w:rPr>
          <w:b/>
          <w:bCs/>
        </w:rPr>
      </w:pPr>
      <w:r>
        <w:rPr>
          <w:b/>
          <w:bCs/>
        </w:rPr>
        <w:t xml:space="preserve"> </w:t>
      </w:r>
    </w:p>
    <w:sectPr w:rsidR="007E6C99">
      <w:footerReference w:type="default" r:id="rId11"/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99" w:rsidRDefault="00890110">
      <w:r>
        <w:separator/>
      </w:r>
    </w:p>
  </w:endnote>
  <w:endnote w:type="continuationSeparator" w:id="0">
    <w:p w:rsidR="007E6C99" w:rsidRDefault="0089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99" w:rsidRDefault="007E6C99">
    <w:pPr>
      <w:rPr>
        <w:sz w:val="20"/>
      </w:rPr>
    </w:pPr>
  </w:p>
  <w:p w:rsidR="007E6C99" w:rsidRDefault="007E6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99" w:rsidRDefault="00890110">
      <w:r>
        <w:separator/>
      </w:r>
    </w:p>
  </w:footnote>
  <w:footnote w:type="continuationSeparator" w:id="0">
    <w:p w:rsidR="007E6C99" w:rsidRDefault="0089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84C"/>
    <w:multiLevelType w:val="hybridMultilevel"/>
    <w:tmpl w:val="E780C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491"/>
    <w:multiLevelType w:val="hybridMultilevel"/>
    <w:tmpl w:val="01B48D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D75A8"/>
    <w:multiLevelType w:val="hybridMultilevel"/>
    <w:tmpl w:val="F7425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502DDC"/>
    <w:multiLevelType w:val="hybridMultilevel"/>
    <w:tmpl w:val="19482C72"/>
    <w:lvl w:ilvl="0" w:tplc="813078B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11111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C0347"/>
    <w:multiLevelType w:val="hybridMultilevel"/>
    <w:tmpl w:val="F596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111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17F77"/>
    <w:multiLevelType w:val="hybridMultilevel"/>
    <w:tmpl w:val="D8DE6DD0"/>
    <w:lvl w:ilvl="0" w:tplc="B41C4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06"/>
    <w:rsid w:val="0018702E"/>
    <w:rsid w:val="001E37CC"/>
    <w:rsid w:val="002A783D"/>
    <w:rsid w:val="002D584D"/>
    <w:rsid w:val="00401F70"/>
    <w:rsid w:val="00450101"/>
    <w:rsid w:val="00470F49"/>
    <w:rsid w:val="00510BEF"/>
    <w:rsid w:val="00572874"/>
    <w:rsid w:val="005A6CDC"/>
    <w:rsid w:val="006114DE"/>
    <w:rsid w:val="006F4C12"/>
    <w:rsid w:val="007E6C99"/>
    <w:rsid w:val="00890110"/>
    <w:rsid w:val="009A486B"/>
    <w:rsid w:val="009B20C2"/>
    <w:rsid w:val="00A02CAB"/>
    <w:rsid w:val="00A471C4"/>
    <w:rsid w:val="00AE7874"/>
    <w:rsid w:val="00B33416"/>
    <w:rsid w:val="00B574EA"/>
    <w:rsid w:val="00F62206"/>
    <w:rsid w:val="00F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401F70"/>
    <w:pPr>
      <w:ind w:left="720"/>
      <w:contextualSpacing/>
    </w:pPr>
  </w:style>
  <w:style w:type="table" w:styleId="TableGrid">
    <w:name w:val="Table Grid"/>
    <w:basedOn w:val="TableNormal"/>
    <w:uiPriority w:val="59"/>
    <w:rsid w:val="00B57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A4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401F70"/>
    <w:pPr>
      <w:ind w:left="720"/>
      <w:contextualSpacing/>
    </w:pPr>
  </w:style>
  <w:style w:type="table" w:styleId="TableGrid">
    <w:name w:val="Table Grid"/>
    <w:basedOn w:val="TableNormal"/>
    <w:uiPriority w:val="59"/>
    <w:rsid w:val="00B57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A4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cal.gov.uk/documents/10180/49938/environment+and+planning+-+climate+local+-+publications+-+L16-4+Climate+Local+annual+report_v04_WEB+march+2016/86ac836b-b8b8-40aa-81be-37ec3d4c58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8D0EEC20.dotm</Template>
  <TotalTime>168</TotalTime>
  <Pages>4</Pages>
  <Words>781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5618</CharactersWithSpaces>
  <SharedDoc>false</SharedDoc>
  <HLinks>
    <vt:vector size="6" baseType="variant">
      <vt:variant>
        <vt:i4>2687043</vt:i4>
      </vt:variant>
      <vt:variant>
        <vt:i4>1511</vt:i4>
      </vt:variant>
      <vt:variant>
        <vt:i4>1025</vt:i4>
      </vt:variant>
      <vt:variant>
        <vt:i4>1</vt:i4>
      </vt:variant>
      <vt:variant>
        <vt:lpwstr>http://insideocc/styleguide/logos/occ_blk.jpg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Sarah.Claridge</cp:lastModifiedBy>
  <cp:revision>7</cp:revision>
  <cp:lastPrinted>2008-06-11T13:21:00Z</cp:lastPrinted>
  <dcterms:created xsi:type="dcterms:W3CDTF">2016-08-15T13:43:00Z</dcterms:created>
  <dcterms:modified xsi:type="dcterms:W3CDTF">2016-09-22T08:42:00Z</dcterms:modified>
</cp:coreProperties>
</file>